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B1F14">
      <w:pPr>
        <w:rPr>
          <w:rFonts w:hint="eastAsia" w:ascii="宋体" w:hAnsi="宋体" w:eastAsia="宋体"/>
          <w:szCs w:val="21"/>
        </w:rPr>
      </w:pPr>
      <w:bookmarkStart w:id="1" w:name="_GoBack"/>
      <w:bookmarkEnd w:id="1"/>
      <w:r>
        <w:rPr>
          <w:rFonts w:hint="eastAsia" w:ascii="宋体" w:hAnsi="宋体" w:eastAsia="宋体"/>
          <w:szCs w:val="21"/>
        </w:rPr>
        <w:t>证券代码：600751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900938    证券简称：海航科技    海科B    编号：临20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5-029</w:t>
      </w:r>
    </w:p>
    <w:p w14:paraId="344403C1">
      <w:pPr>
        <w:autoSpaceDE w:val="0"/>
        <w:autoSpaceDN w:val="0"/>
        <w:adjustRightInd w:val="0"/>
        <w:jc w:val="center"/>
        <w:rPr>
          <w:rFonts w:hint="eastAsia" w:ascii="黑体" w:eastAsia="黑体" w:cs="黑体"/>
          <w:color w:val="FF0000"/>
          <w:kern w:val="0"/>
          <w:sz w:val="24"/>
        </w:rPr>
      </w:pPr>
    </w:p>
    <w:p w14:paraId="3050D383">
      <w:pPr>
        <w:autoSpaceDE w:val="0"/>
        <w:autoSpaceDN w:val="0"/>
        <w:adjustRightInd w:val="0"/>
        <w:jc w:val="center"/>
        <w:rPr>
          <w:rFonts w:hint="eastAsia" w:ascii="黑体" w:eastAsia="黑体" w:cs="黑体"/>
          <w:color w:val="FF0000"/>
          <w:kern w:val="0"/>
          <w:sz w:val="36"/>
          <w:szCs w:val="36"/>
        </w:rPr>
      </w:pPr>
      <w:r>
        <w:rPr>
          <w:rFonts w:hint="eastAsia" w:ascii="黑体" w:eastAsia="黑体" w:cs="黑体"/>
          <w:color w:val="FF0000"/>
          <w:kern w:val="0"/>
          <w:sz w:val="36"/>
          <w:szCs w:val="36"/>
        </w:rPr>
        <w:t>海航科技股份有限公司</w:t>
      </w:r>
    </w:p>
    <w:p w14:paraId="27CF1E9C">
      <w:pPr>
        <w:autoSpaceDE w:val="0"/>
        <w:autoSpaceDN w:val="0"/>
        <w:adjustRightInd w:val="0"/>
        <w:jc w:val="center"/>
        <w:rPr>
          <w:rFonts w:hint="eastAsia" w:ascii="黑体" w:eastAsia="黑体" w:cs="黑体"/>
          <w:color w:val="FF0000"/>
          <w:kern w:val="0"/>
          <w:sz w:val="36"/>
          <w:szCs w:val="36"/>
        </w:rPr>
      </w:pPr>
      <w:r>
        <w:rPr>
          <w:rFonts w:hint="eastAsia" w:ascii="黑体" w:eastAsia="黑体" w:cs="黑体"/>
          <w:color w:val="FF0000"/>
          <w:kern w:val="0"/>
          <w:sz w:val="36"/>
          <w:szCs w:val="36"/>
        </w:rPr>
        <w:t>股票交易异常波动公告</w:t>
      </w:r>
    </w:p>
    <w:p w14:paraId="61ECB2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</w:rPr>
        <w:t xml:space="preserve">本公司董事会及全体董事保证本公告内容不存在任何虚假记载、误导性陈述或者重大遗漏，并对其内容的真实性、准确性和完整性承担法律责任。  </w:t>
      </w:r>
      <w:r>
        <w:rPr>
          <w:rFonts w:hint="eastAsia" w:ascii="宋体" w:hAnsi="宋体" w:eastAsia="宋体"/>
          <w:color w:val="000000"/>
          <w:sz w:val="18"/>
          <w:szCs w:val="18"/>
        </w:rPr>
        <w:t xml:space="preserve">  </w:t>
      </w:r>
    </w:p>
    <w:p w14:paraId="5094DD68">
      <w:pPr>
        <w:autoSpaceDE w:val="0"/>
        <w:autoSpaceDN w:val="0"/>
        <w:adjustRightInd w:val="0"/>
        <w:ind w:firstLine="480"/>
        <w:jc w:val="left"/>
        <w:rPr>
          <w:rFonts w:hint="eastAsia" w:ascii="宋体" w:hAnsi="宋体" w:cs="宋体"/>
          <w:color w:val="000000"/>
          <w:kern w:val="0"/>
        </w:rPr>
      </w:pPr>
    </w:p>
    <w:p w14:paraId="3166472B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重要内容提示：</w:t>
      </w:r>
    </w:p>
    <w:p w14:paraId="3BC502E8"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海航科技</w:t>
      </w:r>
      <w:r>
        <w:rPr>
          <w:rFonts w:ascii="宋体" w:hAnsi="宋体"/>
          <w:color w:val="000000"/>
          <w:sz w:val="24"/>
          <w:szCs w:val="24"/>
        </w:rPr>
        <w:t>股份有限公司（以下简称“公司”或“本公司”）</w:t>
      </w:r>
      <w:r>
        <w:rPr>
          <w:rFonts w:hint="eastAsia" w:ascii="宋体" w:hAnsi="宋体"/>
          <w:color w:val="000000"/>
          <w:sz w:val="24"/>
          <w:szCs w:val="24"/>
        </w:rPr>
        <w:t>A股（证券代码:600751）</w:t>
      </w:r>
      <w:r>
        <w:rPr>
          <w:rFonts w:ascii="宋体" w:hAnsi="宋体"/>
          <w:color w:val="000000"/>
          <w:sz w:val="24"/>
          <w:szCs w:val="24"/>
        </w:rPr>
        <w:t>股票于</w:t>
      </w:r>
      <w:r>
        <w:rPr>
          <w:rFonts w:hint="eastAsia" w:ascii="宋体" w:hAnsi="宋体"/>
          <w:sz w:val="24"/>
        </w:rPr>
        <w:t>2025年7月17日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hint="eastAsia" w:ascii="宋体" w:hAnsi="宋体"/>
          <w:color w:val="000000"/>
          <w:sz w:val="24"/>
          <w:szCs w:val="24"/>
        </w:rPr>
        <w:t>7</w:t>
      </w:r>
      <w:r>
        <w:rPr>
          <w:rFonts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</w:rPr>
        <w:t>18</w:t>
      </w:r>
      <w:r>
        <w:rPr>
          <w:rFonts w:ascii="宋体" w:hAnsi="宋体"/>
          <w:color w:val="000000"/>
          <w:sz w:val="24"/>
          <w:szCs w:val="24"/>
        </w:rPr>
        <w:t>日连续</w:t>
      </w:r>
      <w:r>
        <w:rPr>
          <w:rFonts w:hint="eastAsia" w:ascii="宋体" w:hAnsi="宋体"/>
          <w:color w:val="000000"/>
          <w:sz w:val="24"/>
          <w:szCs w:val="24"/>
        </w:rPr>
        <w:t>两</w:t>
      </w:r>
      <w:r>
        <w:rPr>
          <w:rFonts w:ascii="宋体" w:hAnsi="宋体"/>
          <w:color w:val="000000"/>
          <w:sz w:val="24"/>
          <w:szCs w:val="24"/>
        </w:rPr>
        <w:t>个交易日内日收盘价格涨幅偏离值累计</w:t>
      </w:r>
      <w:r>
        <w:rPr>
          <w:rFonts w:hint="eastAsia" w:ascii="宋体" w:hAnsi="宋体"/>
          <w:color w:val="000000"/>
          <w:sz w:val="24"/>
          <w:szCs w:val="24"/>
        </w:rPr>
        <w:t>达到</w:t>
      </w:r>
      <w:r>
        <w:rPr>
          <w:rFonts w:ascii="宋体" w:hAnsi="宋体"/>
          <w:color w:val="000000"/>
          <w:sz w:val="24"/>
          <w:szCs w:val="24"/>
        </w:rPr>
        <w:t>20%。根据《上海证券交易所交易规则》的有关规定，属于股票交易异常波动情形。</w:t>
      </w:r>
    </w:p>
    <w:p w14:paraId="2F3A2BEF"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经公司自查，并向公司控股股东</w:t>
      </w:r>
      <w:r>
        <w:rPr>
          <w:rFonts w:hint="eastAsia" w:ascii="宋体" w:hAnsi="宋体"/>
          <w:color w:val="000000"/>
          <w:sz w:val="24"/>
          <w:szCs w:val="24"/>
        </w:rPr>
        <w:t>书面</w:t>
      </w:r>
      <w:r>
        <w:rPr>
          <w:rFonts w:ascii="宋体" w:hAnsi="宋体"/>
          <w:color w:val="000000"/>
          <w:sz w:val="24"/>
          <w:szCs w:val="24"/>
        </w:rPr>
        <w:t>核实，截至本公告披露日，</w:t>
      </w:r>
      <w:r>
        <w:rPr>
          <w:rFonts w:hint="eastAsia" w:ascii="宋体" w:hAnsi="宋体"/>
          <w:color w:val="000000"/>
          <w:sz w:val="24"/>
          <w:szCs w:val="24"/>
        </w:rPr>
        <w:t>确认</w:t>
      </w:r>
      <w:r>
        <w:rPr>
          <w:rFonts w:ascii="宋体" w:hAnsi="宋体"/>
          <w:color w:val="000000"/>
          <w:sz w:val="24"/>
          <w:szCs w:val="24"/>
        </w:rPr>
        <w:t>不存在应披露而未披露的重大事项。</w:t>
      </w:r>
    </w:p>
    <w:p w14:paraId="51C7C1BD">
      <w:pPr>
        <w:pStyle w:val="8"/>
        <w:numPr>
          <w:ilvl w:val="0"/>
          <w:numId w:val="1"/>
        </w:numPr>
        <w:spacing w:line="360" w:lineRule="auto"/>
        <w:ind w:left="0" w:firstLine="482" w:firstLine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近日公司股价波动较大，敬请广大投资者注意投资风险。</w:t>
      </w:r>
    </w:p>
    <w:p w14:paraId="477139D8">
      <w:pPr>
        <w:pStyle w:val="9"/>
        <w:rPr>
          <w:rFonts w:hint="eastAsia"/>
        </w:rPr>
      </w:pPr>
    </w:p>
    <w:p w14:paraId="3DCC489D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一、股票交易异常波动的具体情况</w:t>
      </w:r>
    </w:p>
    <w:p w14:paraId="531708E8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bookmarkStart w:id="0" w:name="_Hlk103163615"/>
      <w:r>
        <w:rPr>
          <w:rFonts w:hint="eastAsia" w:ascii="宋体" w:hAnsi="宋体" w:eastAsia="宋体"/>
          <w:sz w:val="24"/>
        </w:rPr>
        <w:t>公司A股（证券代码：600751）股票于2025年7月17日、7月18日连续两个交易日内日收盘价格涨幅偏离值累计达到20%。</w:t>
      </w:r>
      <w:r>
        <w:rPr>
          <w:rFonts w:ascii="宋体" w:hAnsi="宋体" w:eastAsia="宋体"/>
          <w:sz w:val="24"/>
        </w:rPr>
        <w:t>根据《上海证券交易所交易规则》的有关规定，属于股票交易异常波动情形。</w:t>
      </w:r>
    </w:p>
    <w:p w14:paraId="13F9FE85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二、公司关注并核实的相关情况</w:t>
      </w:r>
    </w:p>
    <w:p w14:paraId="63F15776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公司就本次A股股票交易异常波动的情况，对有关事项进行了核查，并发函问询了控股股东，现将有关情况说明如下：</w:t>
      </w:r>
    </w:p>
    <w:p w14:paraId="7AA8975E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（一）生产经营情况</w:t>
      </w:r>
    </w:p>
    <w:p w14:paraId="4CB0E891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公司目前日常生产经营活动正常，</w:t>
      </w:r>
      <w:r>
        <w:rPr>
          <w:rFonts w:ascii="宋体" w:hAnsi="宋体" w:eastAsia="宋体"/>
          <w:sz w:val="24"/>
        </w:rPr>
        <w:t>主营业务为国际干散货船舶运输及商品贸易业务，</w:t>
      </w:r>
      <w:r>
        <w:rPr>
          <w:rFonts w:hint="eastAsia" w:ascii="宋体" w:hAnsi="宋体" w:eastAsia="宋体"/>
          <w:sz w:val="24"/>
        </w:rPr>
        <w:t>日常经营情况及外部环境未发生重大变化、</w:t>
      </w:r>
      <w:r>
        <w:rPr>
          <w:rFonts w:ascii="宋体" w:hAnsi="宋体" w:eastAsia="宋体"/>
          <w:sz w:val="24"/>
        </w:rPr>
        <w:t>生产成本和销售等情况</w:t>
      </w:r>
      <w:r>
        <w:rPr>
          <w:rFonts w:hint="eastAsia" w:ascii="宋体" w:hAnsi="宋体" w:eastAsia="宋体"/>
          <w:sz w:val="24"/>
        </w:rPr>
        <w:t>未</w:t>
      </w:r>
      <w:r>
        <w:rPr>
          <w:rFonts w:ascii="宋体" w:hAnsi="宋体" w:eastAsia="宋体"/>
          <w:sz w:val="24"/>
        </w:rPr>
        <w:t>出现大幅波动、内部</w:t>
      </w:r>
      <w:r>
        <w:rPr>
          <w:rFonts w:hint="eastAsia" w:ascii="宋体" w:hAnsi="宋体" w:eastAsia="宋体"/>
          <w:sz w:val="24"/>
        </w:rPr>
        <w:t>生产经营秩序正常。</w:t>
      </w:r>
    </w:p>
    <w:p w14:paraId="281AFDD3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（二）重大事项情况</w:t>
      </w:r>
    </w:p>
    <w:p w14:paraId="6C98DD34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经自查，并向公司控股股东书面核实，截至本公告披露日，除在指定媒体上已公开披露的信息外，公司及公司控股股东不存在其他应披露而未披露的重大信息，包括但不限于筹划涉及公司的重大资产重组、股份发行、重大交易类事项、业务重组、股份回购、股权激励、破产重整、重大业务合作、引进战略投资者等重大事项。</w:t>
      </w:r>
    </w:p>
    <w:p w14:paraId="20D5720D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（三）媒体报道、市场传闻、热点概念情况</w:t>
      </w:r>
    </w:p>
    <w:p w14:paraId="764B9B7A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经公司自查，截至本公告日，公司未发现需要澄清或回应的媒体报道或市场传闻，亦未涉及市场热点概念。</w:t>
      </w:r>
    </w:p>
    <w:p w14:paraId="0D241B77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（四）其他股价敏感信息或者可能导致股票交易严重异常波动的其他事项</w:t>
      </w:r>
    </w:p>
    <w:p w14:paraId="1B308980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经核实，公司未发现其他可能对公司股价产生较大影响的重大事件，公司董事、高级管理人员、控股股东在公司本次股票异常波动期间不存在买卖公司股票的情况。</w:t>
      </w:r>
    </w:p>
    <w:bookmarkEnd w:id="0"/>
    <w:p w14:paraId="227D27C7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三、相关风险提示</w:t>
      </w:r>
    </w:p>
    <w:p w14:paraId="2792C0DA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公司A股（证券代码：600751）股票于2025年7月17日、7月18日连续两个交易日</w:t>
      </w:r>
      <w:r>
        <w:rPr>
          <w:rFonts w:ascii="宋体" w:hAnsi="宋体" w:eastAsia="宋体"/>
          <w:sz w:val="24"/>
        </w:rPr>
        <w:t>内收盘价格跌幅偏离值累计超过20%，股价剔除大盘和板块整体因素后的实际波动幅度较大。</w:t>
      </w:r>
    </w:p>
    <w:p w14:paraId="36C32F21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结合公司生产经营情况、内外部经营环境分析，公司基本面近期未发生重大变化，</w:t>
      </w:r>
      <w:r>
        <w:rPr>
          <w:rFonts w:ascii="宋体" w:hAnsi="宋体" w:eastAsia="宋体"/>
          <w:sz w:val="24"/>
        </w:rPr>
        <w:t>公司提醒广大投资者，股票价格可能受到宏观经济形势、公司经营情况、金融市场流动性、行业政策等多重因素的影响，敬请广大投资者注意交易风险，审慎决策、理性投资。</w:t>
      </w:r>
    </w:p>
    <w:p w14:paraId="61378FE3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公司指定信息披露刊物为《中国证券报》《上海证券报》《证券时报》《证券日报》《大公报》，及上海证券交易所网站（http://www.sse.com.cn），有关信息披露及公告内容以上述指定媒体为准。敬请广大投资者理性投资，注意投资风险。</w:t>
      </w:r>
    </w:p>
    <w:p w14:paraId="1A5D4708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 xml:space="preserve">四、董事会声明及相关方承诺 </w:t>
      </w:r>
    </w:p>
    <w:p w14:paraId="3B9920A4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公司董事会确认，截至本公告</w:t>
      </w:r>
      <w:r>
        <w:rPr>
          <w:rFonts w:hint="eastAsia" w:ascii="宋体" w:hAnsi="宋体" w:eastAsia="宋体"/>
          <w:sz w:val="24"/>
        </w:rPr>
        <w:t>披露</w:t>
      </w:r>
      <w:r>
        <w:rPr>
          <w:rFonts w:ascii="宋体" w:hAnsi="宋体" w:eastAsia="宋体"/>
          <w:sz w:val="24"/>
        </w:rPr>
        <w:t>日，除已披露事项外，本公司没有任何根据《上海证券交易所股票上市规则》等有关规定应披露而未披露的事项或与该等事项有关的筹划、商谈、意向、协议等，董事会也未获悉根据《上海证券交易所股票上市规则》等有关规定应披露而未披露的、对本公司股票及其衍生品种交易价格可能产生较大影响的信息</w:t>
      </w:r>
      <w:r>
        <w:rPr>
          <w:rFonts w:hint="eastAsia" w:ascii="宋体" w:hAnsi="宋体" w:eastAsia="宋体"/>
          <w:sz w:val="24"/>
        </w:rPr>
        <w:t>；</w:t>
      </w:r>
      <w:r>
        <w:rPr>
          <w:rFonts w:ascii="宋体" w:hAnsi="宋体" w:eastAsia="宋体"/>
          <w:sz w:val="24"/>
        </w:rPr>
        <w:t>公司前期披露的信息不存在需要更正、补充之处。</w:t>
      </w:r>
    </w:p>
    <w:p w14:paraId="2B97D1C1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特此公告。</w:t>
      </w:r>
    </w:p>
    <w:p w14:paraId="7A56AE3B">
      <w:pPr>
        <w:spacing w:line="360" w:lineRule="auto"/>
        <w:jc w:val="right"/>
        <w:rPr>
          <w:rFonts w:hint="eastAsia"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海航科技股份有限公司董事会</w:t>
      </w:r>
    </w:p>
    <w:p w14:paraId="6A66F475">
      <w:pPr>
        <w:spacing w:line="360" w:lineRule="auto"/>
        <w:jc w:val="right"/>
        <w:rPr>
          <w:rFonts w:hint="eastAsia" w:ascii="宋体" w:hAnsi="宋体" w:cs="宋体"/>
          <w:bCs/>
          <w:sz w:val="24"/>
        </w:rPr>
      </w:pPr>
      <w:r>
        <w:rPr>
          <w:rFonts w:ascii="宋体" w:hAnsi="宋体" w:eastAsia="宋体"/>
          <w:bCs/>
          <w:sz w:val="24"/>
        </w:rPr>
        <w:t>202</w:t>
      </w:r>
      <w:r>
        <w:rPr>
          <w:rFonts w:hint="eastAsia" w:ascii="宋体" w:hAnsi="宋体" w:eastAsia="宋体"/>
          <w:bCs/>
          <w:sz w:val="24"/>
        </w:rPr>
        <w:t>5</w:t>
      </w:r>
      <w:r>
        <w:rPr>
          <w:rFonts w:ascii="宋体" w:hAnsi="宋体" w:eastAsia="宋体"/>
          <w:bCs/>
          <w:sz w:val="24"/>
        </w:rPr>
        <w:t>年</w:t>
      </w:r>
      <w:r>
        <w:rPr>
          <w:rFonts w:hint="eastAsia" w:ascii="宋体" w:hAnsi="宋体" w:eastAsia="宋体"/>
          <w:bCs/>
          <w:sz w:val="24"/>
        </w:rPr>
        <w:t>7</w:t>
      </w:r>
      <w:r>
        <w:rPr>
          <w:rFonts w:ascii="宋体" w:hAnsi="宋体" w:eastAsia="宋体"/>
          <w:bCs/>
          <w:sz w:val="24"/>
        </w:rPr>
        <w:t>月</w:t>
      </w:r>
      <w:r>
        <w:rPr>
          <w:rFonts w:hint="eastAsia" w:ascii="宋体" w:hAnsi="宋体" w:eastAsia="宋体"/>
          <w:bCs/>
          <w:sz w:val="24"/>
        </w:rPr>
        <w:t>19</w:t>
      </w:r>
      <w:r>
        <w:rPr>
          <w:rFonts w:ascii="宋体" w:hAnsi="宋体" w:eastAsia="宋体"/>
          <w:bCs/>
          <w:sz w:val="24"/>
        </w:rPr>
        <w:t>日</w:t>
      </w:r>
    </w:p>
    <w:p w14:paraId="5B28036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85093C"/>
    <w:multiLevelType w:val="multilevel"/>
    <w:tmpl w:val="7785093C"/>
    <w:lvl w:ilvl="0" w:tentative="0">
      <w:start w:val="1"/>
      <w:numFmt w:val="bullet"/>
      <w:lvlText w:val="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EB"/>
    <w:rsid w:val="00033028"/>
    <w:rsid w:val="0003574C"/>
    <w:rsid w:val="00055F33"/>
    <w:rsid w:val="000638EB"/>
    <w:rsid w:val="00065CFE"/>
    <w:rsid w:val="000734C5"/>
    <w:rsid w:val="00075967"/>
    <w:rsid w:val="00091AE1"/>
    <w:rsid w:val="000B2B10"/>
    <w:rsid w:val="000C6F11"/>
    <w:rsid w:val="000D5596"/>
    <w:rsid w:val="000D67BA"/>
    <w:rsid w:val="000F7B42"/>
    <w:rsid w:val="001040C3"/>
    <w:rsid w:val="00172978"/>
    <w:rsid w:val="00184694"/>
    <w:rsid w:val="001D3947"/>
    <w:rsid w:val="00203A3A"/>
    <w:rsid w:val="00204600"/>
    <w:rsid w:val="002418BC"/>
    <w:rsid w:val="0026217E"/>
    <w:rsid w:val="00286465"/>
    <w:rsid w:val="00286AD2"/>
    <w:rsid w:val="00293744"/>
    <w:rsid w:val="002C28D5"/>
    <w:rsid w:val="002F32EB"/>
    <w:rsid w:val="00317ED3"/>
    <w:rsid w:val="0033060C"/>
    <w:rsid w:val="0035546A"/>
    <w:rsid w:val="00360A13"/>
    <w:rsid w:val="00361B89"/>
    <w:rsid w:val="0037074D"/>
    <w:rsid w:val="003835E1"/>
    <w:rsid w:val="003A4A50"/>
    <w:rsid w:val="003C2F6A"/>
    <w:rsid w:val="00463D8E"/>
    <w:rsid w:val="00465DD6"/>
    <w:rsid w:val="00472155"/>
    <w:rsid w:val="004837C1"/>
    <w:rsid w:val="0049733D"/>
    <w:rsid w:val="004B7176"/>
    <w:rsid w:val="004C28B8"/>
    <w:rsid w:val="004C737B"/>
    <w:rsid w:val="004E0419"/>
    <w:rsid w:val="00515FF5"/>
    <w:rsid w:val="00523F20"/>
    <w:rsid w:val="005820AD"/>
    <w:rsid w:val="00585E13"/>
    <w:rsid w:val="005D4B74"/>
    <w:rsid w:val="0064353C"/>
    <w:rsid w:val="00696952"/>
    <w:rsid w:val="006A6102"/>
    <w:rsid w:val="006C6F8E"/>
    <w:rsid w:val="00777787"/>
    <w:rsid w:val="00793D06"/>
    <w:rsid w:val="007A7EBC"/>
    <w:rsid w:val="007D3F2B"/>
    <w:rsid w:val="007D684B"/>
    <w:rsid w:val="007F7A86"/>
    <w:rsid w:val="008047E0"/>
    <w:rsid w:val="00805954"/>
    <w:rsid w:val="00807665"/>
    <w:rsid w:val="00826610"/>
    <w:rsid w:val="00831421"/>
    <w:rsid w:val="00844F5A"/>
    <w:rsid w:val="00864BA2"/>
    <w:rsid w:val="0087732B"/>
    <w:rsid w:val="008A457C"/>
    <w:rsid w:val="0092466F"/>
    <w:rsid w:val="00947300"/>
    <w:rsid w:val="00970E5B"/>
    <w:rsid w:val="009734E3"/>
    <w:rsid w:val="00990AC9"/>
    <w:rsid w:val="009D39B0"/>
    <w:rsid w:val="009F2E7C"/>
    <w:rsid w:val="00A018B6"/>
    <w:rsid w:val="00A30660"/>
    <w:rsid w:val="00A35958"/>
    <w:rsid w:val="00A54CB2"/>
    <w:rsid w:val="00A62789"/>
    <w:rsid w:val="00A70CE7"/>
    <w:rsid w:val="00A7625C"/>
    <w:rsid w:val="00A8079D"/>
    <w:rsid w:val="00AA05AE"/>
    <w:rsid w:val="00AA34A9"/>
    <w:rsid w:val="00AD510D"/>
    <w:rsid w:val="00AF43AD"/>
    <w:rsid w:val="00B21C08"/>
    <w:rsid w:val="00B27F5A"/>
    <w:rsid w:val="00B55C58"/>
    <w:rsid w:val="00B85C68"/>
    <w:rsid w:val="00BC665A"/>
    <w:rsid w:val="00C35B58"/>
    <w:rsid w:val="00C37229"/>
    <w:rsid w:val="00C45B89"/>
    <w:rsid w:val="00C61111"/>
    <w:rsid w:val="00C86C4F"/>
    <w:rsid w:val="00CB4515"/>
    <w:rsid w:val="00CD215E"/>
    <w:rsid w:val="00CE0D7B"/>
    <w:rsid w:val="00D03C0E"/>
    <w:rsid w:val="00D34285"/>
    <w:rsid w:val="00D64F71"/>
    <w:rsid w:val="00D93945"/>
    <w:rsid w:val="00DF1F19"/>
    <w:rsid w:val="00E102A4"/>
    <w:rsid w:val="00E116F5"/>
    <w:rsid w:val="00E21E5E"/>
    <w:rsid w:val="00E255AA"/>
    <w:rsid w:val="00E62336"/>
    <w:rsid w:val="00E956E0"/>
    <w:rsid w:val="00EC7AFE"/>
    <w:rsid w:val="00F526FF"/>
    <w:rsid w:val="00F91D07"/>
    <w:rsid w:val="00FB59EB"/>
    <w:rsid w:val="00FD0254"/>
    <w:rsid w:val="00FF6148"/>
    <w:rsid w:val="2810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_Style 7"/>
    <w:basedOn w:val="1"/>
    <w:next w:val="9"/>
    <w:qFormat/>
    <w:uiPriority w:val="34"/>
    <w:pPr>
      <w:ind w:firstLine="420" w:firstLineChars="200"/>
    </w:pPr>
    <w:rPr>
      <w:rFonts w:ascii="Calibri" w:hAnsi="Calibri" w:eastAsia="宋体" w:cs="Times New Roman"/>
      <w:szCs w:val="22"/>
      <w14:ligatures w14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1376</Words>
  <Characters>1454</Characters>
  <Lines>10</Lines>
  <Paragraphs>3</Paragraphs>
  <TotalTime>290</TotalTime>
  <ScaleCrop>false</ScaleCrop>
  <LinksUpToDate>false</LinksUpToDate>
  <CharactersWithSpaces>1475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2025-01-02T07:35:00Z</dcterms:created>
  <dc:creator>云迪 杨</dc:creator>
  <cp:lastModifiedBy>作业本</cp:lastModifiedBy>
  <dcterms:modified xsi:type="dcterms:W3CDTF">2025-07-18T10:00:28Z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645B3CFE338F4E4FACD1076BB64DB235_13</vt:lpwstr>
  </property>
</Properties>
</file>